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Theme="minorHAnsi" w:hAnsiTheme="minorHAnsi"/>
          <w:sz w:val="20"/>
          <w:szCs w:val="20"/>
        </w:rPr>
      </w:pPr>
      <w:bookmarkStart w:id="0" w:name="page1"/>
      <w:bookmarkEnd w:id="0"/>
      <w:r w:rsidRPr="00445C45">
        <w:rPr>
          <w:rFonts w:asciiTheme="minorHAnsi" w:hAnsiTheme="minorHAnsi" w:cs="Calibri"/>
          <w:b/>
          <w:bCs/>
          <w:sz w:val="20"/>
          <w:szCs w:val="20"/>
        </w:rPr>
        <w:t>FIŞA DISCIPLINEI</w:t>
      </w: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445C45">
        <w:rPr>
          <w:rFonts w:asciiTheme="minorHAnsi" w:hAnsiTheme="minorHAnsi" w:cs="Calibri"/>
          <w:b/>
          <w:bCs/>
          <w:sz w:val="20"/>
          <w:szCs w:val="20"/>
        </w:rPr>
        <w:t>1.Datedespre</w:t>
      </w:r>
      <w:proofErr w:type="gramEnd"/>
      <w:r w:rsidRPr="00445C45">
        <w:rPr>
          <w:rFonts w:asciiTheme="minorHAnsi" w:hAnsiTheme="minorHAnsi"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D60F81" w:rsidRPr="00445C45" w:rsidTr="00E46FB5">
        <w:trPr>
          <w:trHeight w:val="295"/>
        </w:trPr>
        <w:tc>
          <w:tcPr>
            <w:tcW w:w="280" w:type="dxa"/>
            <w:vAlign w:val="bottom"/>
          </w:tcPr>
          <w:p w:rsidR="00D60F81" w:rsidRPr="00445C45" w:rsidRDefault="00E67959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95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E6795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D60F81" w:rsidRPr="00445C45">
              <w:rPr>
                <w:rFonts w:asciiTheme="minorHAnsi" w:hAnsiTheme="minorHAnsi"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Instituţia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D60F81" w:rsidRPr="00445C45" w:rsidTr="00E46FB5">
        <w:trPr>
          <w:trHeight w:val="266"/>
        </w:trPr>
        <w:tc>
          <w:tcPr>
            <w:tcW w:w="2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Facultatea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D60F81" w:rsidRPr="00445C45" w:rsidTr="00E46FB5">
        <w:trPr>
          <w:trHeight w:val="260"/>
        </w:trPr>
        <w:tc>
          <w:tcPr>
            <w:tcW w:w="2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D60F81" w:rsidRPr="00445C45" w:rsidTr="00E46FB5">
        <w:trPr>
          <w:trHeight w:val="264"/>
        </w:trPr>
        <w:tc>
          <w:tcPr>
            <w:tcW w:w="2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Domeniul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D60F81" w:rsidRPr="00445C45" w:rsidTr="00E46FB5">
        <w:trPr>
          <w:trHeight w:val="266"/>
        </w:trPr>
        <w:tc>
          <w:tcPr>
            <w:tcW w:w="2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Ciclul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D60F81" w:rsidRPr="00445C45" w:rsidTr="00E46FB5">
        <w:trPr>
          <w:trHeight w:val="238"/>
        </w:trPr>
        <w:tc>
          <w:tcPr>
            <w:tcW w:w="2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Programul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D60F81" w:rsidRPr="00445C45" w:rsidRDefault="00096DD3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742544">
              <w:rPr>
                <w:rFonts w:cs="Calibri"/>
                <w:b/>
                <w:bCs/>
                <w:sz w:val="20"/>
                <w:szCs w:val="20"/>
              </w:rPr>
              <w:t>POLITICI PUBLICE ŞI MANAGEMENT ÎN ADMINISTRAŢIE PUBLICĂ</w:t>
            </w:r>
          </w:p>
        </w:tc>
      </w:tr>
      <w:tr w:rsidR="00D60F81" w:rsidRPr="00445C45" w:rsidTr="00E46FB5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445C45">
        <w:rPr>
          <w:rFonts w:asciiTheme="minorHAnsi" w:hAnsiTheme="minorHAnsi" w:cs="Calibri"/>
          <w:b/>
          <w:bCs/>
          <w:sz w:val="20"/>
          <w:szCs w:val="20"/>
        </w:rPr>
        <w:t>2.Datedespredisciplină</w:t>
      </w:r>
      <w:proofErr w:type="gram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D60F81" w:rsidRPr="00445C45" w:rsidTr="00E46FB5">
        <w:trPr>
          <w:trHeight w:val="300"/>
        </w:trPr>
        <w:tc>
          <w:tcPr>
            <w:tcW w:w="281" w:type="dxa"/>
            <w:vAlign w:val="bottom"/>
          </w:tcPr>
          <w:p w:rsidR="00D60F81" w:rsidRPr="00445C45" w:rsidRDefault="00E67959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95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2" o:spid="_x0000_s1104" style="position:absolute;left:0;text-align:left;margin-left:-.45pt;margin-top:14.9pt;width:.95pt;height:2.2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E67959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D60F81" w:rsidRPr="00445C45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Denumirea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D60F81" w:rsidRPr="00445C45" w:rsidRDefault="00902E5D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45C45">
              <w:rPr>
                <w:rFonts w:asciiTheme="minorHAnsi" w:hAnsiTheme="minorHAnsi"/>
                <w:sz w:val="20"/>
                <w:szCs w:val="20"/>
                <w:lang w:val="ro-RO"/>
              </w:rPr>
              <w:t>Analiza instituțională</w:t>
            </w:r>
          </w:p>
        </w:tc>
      </w:tr>
      <w:tr w:rsidR="00D60F81" w:rsidRPr="00445C45" w:rsidTr="00E46FB5">
        <w:trPr>
          <w:trHeight w:val="261"/>
        </w:trPr>
        <w:tc>
          <w:tcPr>
            <w:tcW w:w="281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D60F81" w:rsidRPr="00445C45" w:rsidRDefault="00096DD3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Prof.univ.dr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2E5D" w:rsidRPr="00445C45">
              <w:rPr>
                <w:rFonts w:asciiTheme="minorHAnsi" w:hAnsiTheme="minorHAnsi"/>
                <w:sz w:val="20"/>
                <w:szCs w:val="20"/>
              </w:rPr>
              <w:t>Lazăr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2E5D" w:rsidRPr="00445C45">
              <w:rPr>
                <w:rFonts w:asciiTheme="minorHAnsi" w:hAnsiTheme="minorHAnsi"/>
                <w:sz w:val="20"/>
                <w:szCs w:val="20"/>
              </w:rPr>
              <w:t>Vlăsceanu</w:t>
            </w:r>
            <w:proofErr w:type="spellEnd"/>
          </w:p>
        </w:tc>
      </w:tr>
      <w:tr w:rsidR="00D60F81" w:rsidRPr="00445C45" w:rsidTr="00E46FB5">
        <w:trPr>
          <w:trHeight w:val="266"/>
        </w:trPr>
        <w:tc>
          <w:tcPr>
            <w:tcW w:w="281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38"/>
        </w:trPr>
        <w:tc>
          <w:tcPr>
            <w:tcW w:w="281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Anul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2.5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2.6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Tipul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2.7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D60F81" w:rsidRPr="00445C45" w:rsidTr="00E46FB5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0F81" w:rsidRPr="00096DD3" w:rsidRDefault="00E67959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96DD3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096DD3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>3.Timpul</w:t>
      </w:r>
      <w:proofErr w:type="gramEnd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 xml:space="preserve"> total </w:t>
      </w:r>
      <w:proofErr w:type="spellStart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>estimat</w:t>
      </w:r>
      <w:proofErr w:type="spellEnd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 xml:space="preserve"> (ore </w:t>
      </w:r>
      <w:proofErr w:type="spellStart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>pesemestru</w:t>
      </w:r>
      <w:proofErr w:type="spellEnd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 xml:space="preserve"> al </w:t>
      </w:r>
      <w:proofErr w:type="spellStart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>activităţilordidactice</w:t>
      </w:r>
      <w:proofErr w:type="spellEnd"/>
      <w:r w:rsidR="00D60F81" w:rsidRPr="00096DD3">
        <w:rPr>
          <w:rFonts w:asciiTheme="minorHAnsi" w:hAnsiTheme="minorHAnsi"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60F81" w:rsidRPr="00096DD3" w:rsidTr="00E46FB5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E67959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096DD3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D60F81" w:rsidRPr="00096DD3">
              <w:rPr>
                <w:rFonts w:asciiTheme="minorHAnsi" w:hAnsiTheme="minorHAnsi" w:cs="Calibri"/>
                <w:sz w:val="20"/>
                <w:szCs w:val="20"/>
              </w:rPr>
              <w:t xml:space="preserve">3.1 </w:t>
            </w:r>
            <w:proofErr w:type="spellStart"/>
            <w:r w:rsidR="00D60F81" w:rsidRPr="00096DD3">
              <w:rPr>
                <w:rFonts w:asciiTheme="minorHAnsi" w:hAnsiTheme="minorHAnsi" w:cs="Calibri"/>
                <w:sz w:val="20"/>
                <w:szCs w:val="20"/>
              </w:rPr>
              <w:t>Număr</w:t>
            </w:r>
            <w:proofErr w:type="spellEnd"/>
            <w:r w:rsidR="00D60F81" w:rsidRPr="00096DD3">
              <w:rPr>
                <w:rFonts w:asciiTheme="minorHAnsi" w:hAnsiTheme="minorHAnsi" w:cs="Calibri"/>
                <w:sz w:val="20"/>
                <w:szCs w:val="20"/>
              </w:rPr>
              <w:t xml:space="preserve"> de ore </w:t>
            </w:r>
            <w:proofErr w:type="spellStart"/>
            <w:r w:rsidR="00D60F81" w:rsidRPr="00096DD3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</w:p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6DD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 w:cs="Calibri"/>
                <w:sz w:val="20"/>
                <w:szCs w:val="20"/>
              </w:rPr>
              <w:t>din care: 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seminar/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096DD3" w:rsidTr="00E46FB5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3.4 Total ore din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planul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de</w:t>
            </w:r>
          </w:p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096DD3" w:rsidTr="00E46FB5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Distribuţia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fondului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ore</w:t>
            </w:r>
            <w:bookmarkStart w:id="1" w:name="_GoBack"/>
            <w:bookmarkEnd w:id="1"/>
          </w:p>
        </w:tc>
      </w:tr>
      <w:tr w:rsidR="00D60F81" w:rsidRPr="00096DD3" w:rsidTr="00E46FB5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Studiul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după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manual,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suport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bibliografie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4</w:t>
            </w:r>
            <w:r w:rsidR="00D60F81" w:rsidRPr="00096D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60F81" w:rsidRPr="00096DD3" w:rsidTr="00E46FB5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Documentare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suplimentară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bibliotecă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platformele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electronice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specialitate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4</w:t>
            </w:r>
            <w:r w:rsidR="00D60F81" w:rsidRPr="00096D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60F81" w:rsidRPr="00096DD3" w:rsidTr="00E46FB5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Pregătireseminarii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laboratoare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portofolii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096DD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2</w:t>
            </w:r>
            <w:r w:rsidR="00D60F81" w:rsidRPr="00096D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60F81" w:rsidRPr="00096DD3" w:rsidTr="00E46FB5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D60F81" w:rsidRPr="00096DD3" w:rsidTr="00E46FB5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D60F81" w:rsidRPr="00096DD3" w:rsidTr="00E46FB5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D60F81" w:rsidRPr="00096DD3" w:rsidTr="00E46FB5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3.7 Total ore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147</w:t>
            </w:r>
          </w:p>
        </w:tc>
      </w:tr>
      <w:tr w:rsidR="00D60F81" w:rsidRPr="00096DD3" w:rsidTr="00E46FB5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3.9 Total ore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175</w:t>
            </w:r>
          </w:p>
        </w:tc>
      </w:tr>
      <w:tr w:rsidR="00D60F81" w:rsidRPr="00445C45" w:rsidTr="00E46FB5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3.10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Numărul</w:t>
            </w:r>
            <w:proofErr w:type="spellEnd"/>
            <w:r w:rsidRPr="00096DD3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096DD3">
              <w:rPr>
                <w:rFonts w:asciiTheme="minorHAnsi" w:hAnsiTheme="minorHAnsi"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0F81" w:rsidRPr="00096DD3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445C45" w:rsidRDefault="00BD7503" w:rsidP="0009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DD3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</w:tr>
      <w:tr w:rsidR="00D60F81" w:rsidRPr="00445C45" w:rsidTr="00E46FB5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60F81" w:rsidRPr="00445C45" w:rsidTr="00E46FB5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4.2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60F81" w:rsidRPr="00445C45" w:rsidTr="00E46FB5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D60F81" w:rsidRPr="00445C45" w:rsidTr="00E46FB5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Condiţii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acoloundeestecazul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D60F81" w:rsidRPr="00445C45" w:rsidTr="00E46FB5">
        <w:trPr>
          <w:trHeight w:val="169"/>
        </w:trPr>
        <w:tc>
          <w:tcPr>
            <w:tcW w:w="1728" w:type="dxa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5.1.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desfăşurare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D60F81" w:rsidRPr="00445C45" w:rsidRDefault="00D60F81" w:rsidP="00096D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169"/>
        </w:trPr>
        <w:tc>
          <w:tcPr>
            <w:tcW w:w="1728" w:type="dxa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5.2.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desfășurare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seminarului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D60F81" w:rsidRPr="00445C45" w:rsidTr="00E46FB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Competenţele</w:t>
            </w:r>
            <w:proofErr w:type="spellEnd"/>
            <w:r w:rsidR="00096DD3">
              <w:rPr>
                <w:rFonts w:asciiTheme="minorHAnsi" w:hAnsiTheme="minorHAnsi"/>
                <w:b/>
                <w:sz w:val="20"/>
                <w:szCs w:val="20"/>
              </w:rPr>
              <w:t xml:space="preserve"> specific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D60F81" w:rsidRPr="00445C45" w:rsidTr="00E46FB5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="00096DD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D60F81" w:rsidRPr="00096DD3" w:rsidRDefault="00096DD3" w:rsidP="00096DD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/>
                <w:sz w:val="20"/>
                <w:szCs w:val="20"/>
              </w:rPr>
              <w:t>Cunoașterea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</w:rPr>
              <w:t>teoriilor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</w:rPr>
              <w:t>privind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</w:rPr>
              <w:t>analiza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</w:rPr>
              <w:t>instituțională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096DD3" w:rsidRPr="00096DD3" w:rsidRDefault="00096DD3" w:rsidP="00096DD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Formarea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abilită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ții de a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conecta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cunostintele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teoretice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specific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analizei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institu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ionale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cu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cele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legate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problemele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concrete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ce</w:t>
            </w:r>
            <w:proofErr w:type="gram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apar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procesul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reforma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şi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administraţia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  <w:r w:rsidRPr="00096DD3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</w:tc>
      </w:tr>
      <w:tr w:rsidR="00D60F81" w:rsidRPr="00445C45" w:rsidTr="00E46FB5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FB2CB3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Competente</w:t>
            </w:r>
            <w:proofErr w:type="spellEnd"/>
          </w:p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D60F81" w:rsidRPr="00FB2CB3" w:rsidRDefault="00FB2CB3" w:rsidP="00FB2C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2CB3">
              <w:rPr>
                <w:rFonts w:asciiTheme="minorHAnsi" w:hAnsiTheme="minorHAnsi"/>
                <w:sz w:val="20"/>
                <w:szCs w:val="20"/>
              </w:rPr>
              <w:t>Responsabilitate privind sarcinile implicate de procesul muncii;</w:t>
            </w:r>
          </w:p>
          <w:p w:rsidR="00FB2CB3" w:rsidRPr="00FB2CB3" w:rsidRDefault="00FB2CB3" w:rsidP="00FB2C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2CB3">
              <w:rPr>
                <w:rFonts w:asciiTheme="minorHAnsi" w:hAnsiTheme="minorHAnsi"/>
                <w:sz w:val="20"/>
                <w:szCs w:val="20"/>
              </w:rPr>
              <w:t>Capacitatea de a munci independent;</w:t>
            </w:r>
          </w:p>
          <w:p w:rsidR="00FB2CB3" w:rsidRPr="00FB2CB3" w:rsidRDefault="00FB2CB3" w:rsidP="00FB2C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2CB3">
              <w:rPr>
                <w:rFonts w:asciiTheme="minorHAnsi" w:hAnsiTheme="minorHAnsi"/>
                <w:sz w:val="20"/>
                <w:szCs w:val="20"/>
              </w:rPr>
              <w:t>Capacitatea de a coopera cu ceilalți în echipe multi-disciplinare.</w:t>
            </w: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D60F81" w:rsidRPr="00445C45" w:rsidTr="00E46FB5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Obiectivele</w:t>
            </w:r>
            <w:proofErr w:type="spellEnd"/>
            <w:r w:rsidR="00096DD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reieşind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grila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competenţelor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acumulate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60F81" w:rsidRPr="00445C45" w:rsidTr="00E46FB5">
        <w:trPr>
          <w:trHeight w:val="169"/>
        </w:trPr>
        <w:tc>
          <w:tcPr>
            <w:tcW w:w="3168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7.1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Obiectivul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general al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45C45" w:rsidRPr="00445C45" w:rsidRDefault="00D60F81" w:rsidP="00445C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proofErr w:type="spellStart"/>
            <w:r w:rsidRPr="00445C45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Cursul</w:t>
            </w:r>
            <w:proofErr w:type="spellEnd"/>
            <w:r w:rsidRPr="00445C45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="00445C45" w:rsidRPr="00445C45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Analiza</w:t>
            </w:r>
            <w:proofErr w:type="spellEnd"/>
            <w:r w:rsidR="00096DD3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096DD3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i</w:t>
            </w:r>
            <w:r w:rsidR="00445C45" w:rsidRPr="00445C45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nstituțională</w:t>
            </w:r>
            <w:proofErr w:type="spellEnd"/>
            <w:r w:rsidR="00096DD3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oferă</w:t>
            </w:r>
            <w:proofErr w:type="spellEnd"/>
            <w:r w:rsidR="00096DD3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instrumentele</w:t>
            </w:r>
            <w:proofErr w:type="spellEnd"/>
            <w:r w:rsidR="00096DD3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teoretice</w:t>
            </w:r>
            <w:proofErr w:type="spellEnd"/>
            <w:r w:rsidR="00096DD3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pentru</w:t>
            </w:r>
            <w:proofErr w:type="spellEnd"/>
            <w:r w:rsidR="00445C45" w:rsidRPr="00445C45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asimilarea si operarea cu conceptele specifice analizei instituţionale.</w:t>
            </w:r>
          </w:p>
          <w:p w:rsidR="00445C45" w:rsidRPr="00445C45" w:rsidRDefault="00445C45" w:rsidP="00445C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45C45">
              <w:rPr>
                <w:rFonts w:asciiTheme="minorHAnsi" w:hAnsiTheme="minorHAnsi"/>
                <w:sz w:val="20"/>
                <w:szCs w:val="20"/>
                <w:lang w:val="ro-RO"/>
              </w:rPr>
              <w:t>Cursul își propune extinderea relevantei conceptelor analizei instituţionale la domeniul politicilor publice si al managementului public.</w:t>
            </w:r>
          </w:p>
          <w:p w:rsidR="00445C45" w:rsidRPr="00445C45" w:rsidRDefault="00445C45" w:rsidP="00445C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45C45">
              <w:rPr>
                <w:rFonts w:asciiTheme="minorHAnsi" w:hAnsiTheme="minorHAnsi"/>
                <w:sz w:val="20"/>
                <w:szCs w:val="20"/>
                <w:lang w:val="ro-RO"/>
              </w:rPr>
              <w:t>Cursul va facilita înţelegerea distincţiei conceptuale si explicative a analizei instituţionale prin comparare cu alte abordări teoretice (e.g. ale economiei neoclasice, sociologiei pozitiviste si constructiviste)</w:t>
            </w:r>
          </w:p>
          <w:p w:rsidR="00445C45" w:rsidRPr="00445C45" w:rsidRDefault="00445C45" w:rsidP="00445C45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</w:pPr>
          </w:p>
          <w:p w:rsidR="00096DD3" w:rsidRDefault="00D60F81" w:rsidP="00445C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sens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li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vor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transmite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cunoștințe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fundamentale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prezentarea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principalelor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concepte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teorii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modele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dezvoltate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domeniului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studiu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analizei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politici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96DD3" w:rsidRDefault="00096DD3" w:rsidP="00445C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60F81" w:rsidRPr="00445C45" w:rsidRDefault="00D60F81" w:rsidP="00445C4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Diseminarea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cunoștințelor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va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realize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atât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intermediul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prelegerilor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curs,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cât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exerciții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seminar.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lângă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formarea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profesionale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cursul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urmărește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să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dezvolte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nivelul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transversale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a le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facilita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acestora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fie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pregătirea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integrarea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muncă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, fie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continuarea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studiilor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nivelul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ciclurilor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superioare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60F81" w:rsidRPr="00445C45" w:rsidTr="00E46FB5">
        <w:trPr>
          <w:trHeight w:val="169"/>
        </w:trPr>
        <w:tc>
          <w:tcPr>
            <w:tcW w:w="3168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7.2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Obiectivele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45C45" w:rsidRDefault="00D60F81" w:rsidP="00FB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445C45">
              <w:rPr>
                <w:rFonts w:asciiTheme="minorHAnsi" w:hAnsiTheme="minorHAnsi"/>
                <w:sz w:val="20"/>
                <w:szCs w:val="20"/>
                <w:lang w:val="ro-RO"/>
              </w:rPr>
              <w:t>(1) Cursul oferă participanților o perspectivă globală și generală cu privire la caracteristicile și specificul</w:t>
            </w:r>
            <w:r w:rsidR="00445C45" w:rsidRPr="00445C45">
              <w:rPr>
                <w:rFonts w:asciiTheme="minorHAnsi" w:hAnsiTheme="minorHAnsi"/>
                <w:sz w:val="20"/>
                <w:szCs w:val="20"/>
                <w:lang w:val="ro-RO"/>
              </w:rPr>
              <w:t>ui analizei instituționale</w:t>
            </w:r>
            <w:r w:rsidR="00445C45">
              <w:rPr>
                <w:rFonts w:asciiTheme="minorHAnsi" w:hAnsiTheme="minorHAnsi"/>
                <w:sz w:val="20"/>
                <w:szCs w:val="20"/>
                <w:lang w:val="ro-RO"/>
              </w:rPr>
              <w:t>;</w:t>
            </w:r>
          </w:p>
          <w:p w:rsidR="00096DD3" w:rsidRDefault="00D60F81" w:rsidP="00FB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45C45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(2) Cursul facilitează studenților d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obindirea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cunostintea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profundate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analizei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institu</w:t>
            </w:r>
            <w:proofErr w:type="spellEnd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ionale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întelegerea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conceptelor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specifice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domeniului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abilitatea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conecta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cunostintele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teoretice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specific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analizei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institu</w:t>
            </w:r>
            <w:proofErr w:type="spellEnd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  <w:lang w:val="fr-FR"/>
              </w:rPr>
              <w:t>ionale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cu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cele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legate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problemele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concrete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apar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procesul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reforma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şi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administraţia</w:t>
            </w:r>
            <w:proofErr w:type="spellEnd"/>
            <w:r w:rsidR="00096DD3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</w:p>
          <w:p w:rsidR="00D60F81" w:rsidRPr="00445C45" w:rsidRDefault="00445C45" w:rsidP="00FB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445C45" w:rsidRPr="00445C45" w:rsidRDefault="00D60F81" w:rsidP="00FB2CB3">
            <w:pPr>
              <w:pStyle w:val="BodyText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  <w:lang w:val="ro-RO"/>
              </w:rPr>
              <w:t>(3)</w:t>
            </w:r>
            <w:r w:rsidR="00445C45" w:rsidRPr="00445C45">
              <w:rPr>
                <w:rFonts w:asciiTheme="minorHAnsi" w:hAnsiTheme="minorHAnsi"/>
                <w:sz w:val="20"/>
                <w:szCs w:val="20"/>
                <w:lang w:val="ro-RO"/>
              </w:rPr>
              <w:t>Cursul va facilita i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</w:rPr>
              <w:t>nterpretareastructuriiexplicaţieiteoretice</w:t>
            </w:r>
            <w:proofErr w:type="spellEnd"/>
            <w:r w:rsidR="00445C45" w:rsidRPr="00445C45">
              <w:rPr>
                <w:rFonts w:asciiTheme="minorHAnsi" w:hAnsiTheme="minorHAnsi"/>
                <w:sz w:val="20"/>
                <w:szCs w:val="20"/>
              </w:rPr>
              <w:t xml:space="preserve"> de tip </w:t>
            </w:r>
            <w:proofErr w:type="spellStart"/>
            <w:r w:rsidR="00445C45" w:rsidRPr="00445C45">
              <w:rPr>
                <w:rFonts w:asciiTheme="minorHAnsi" w:hAnsiTheme="minorHAnsi"/>
                <w:sz w:val="20"/>
                <w:szCs w:val="20"/>
              </w:rPr>
              <w:t>instituţionalistși</w:t>
            </w:r>
            <w:proofErr w:type="spellEnd"/>
            <w:r w:rsidR="00445C45" w:rsidRPr="00445C45">
              <w:rPr>
                <w:rFonts w:asciiTheme="minorHAnsi" w:hAnsiTheme="minorHAnsi"/>
                <w:sz w:val="20"/>
                <w:szCs w:val="20"/>
                <w:lang w:val="it-IT"/>
              </w:rPr>
              <w:t>compararea explicaţiei instituţionaliste cu alte paradigme teoretice in termeni metodologici ai cercetarii</w:t>
            </w:r>
            <w:r w:rsidR="00445C45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</w:p>
          <w:p w:rsidR="00D60F81" w:rsidRPr="00445C45" w:rsidRDefault="00D60F81" w:rsidP="00FB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445C45" w:rsidRPr="00445C45" w:rsidRDefault="00D60F81" w:rsidP="00FB2CB3">
            <w:pPr>
              <w:pStyle w:val="BodyText"/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(4) </w:t>
            </w:r>
            <w:r w:rsidR="00445C45">
              <w:rPr>
                <w:rFonts w:asciiTheme="minorHAnsi" w:hAnsiTheme="minorHAnsi"/>
                <w:sz w:val="20"/>
                <w:szCs w:val="20"/>
                <w:lang w:val="it-IT"/>
              </w:rPr>
              <w:t>Cursul va realiza a</w:t>
            </w:r>
            <w:r w:rsidR="00445C45" w:rsidRPr="00445C45"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  <w:t>plicaţii ale institutonalismului metodologic in explicarea stabilităţii si schimbării sociale</w:t>
            </w:r>
            <w:r w:rsidR="00445C45"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  <w:t>.</w:t>
            </w:r>
          </w:p>
          <w:p w:rsidR="00445C45" w:rsidRPr="00445C45" w:rsidRDefault="00D60F81" w:rsidP="00FB2CB3">
            <w:pPr>
              <w:pStyle w:val="BodyText"/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(5) </w:t>
            </w:r>
            <w:r w:rsidR="001D2F66"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  <w:t>D</w:t>
            </w:r>
            <w:r w:rsidR="00445C45"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  <w:t>e asemenea, cursul va susține u</w:t>
            </w:r>
            <w:r w:rsidR="00445C45" w:rsidRPr="00445C45"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  <w:t>tilizarea analizei instituţionale in proiectarea si aplicarea de politici publice si modele de management public</w:t>
            </w:r>
            <w:r w:rsidR="00445C45">
              <w:rPr>
                <w:rFonts w:asciiTheme="minorHAnsi" w:hAnsiTheme="minorHAnsi"/>
                <w:bCs/>
                <w:iCs/>
                <w:sz w:val="20"/>
                <w:szCs w:val="20"/>
                <w:lang w:val="it-IT"/>
              </w:rPr>
              <w:t>,</w:t>
            </w:r>
          </w:p>
          <w:p w:rsidR="00445C45" w:rsidRPr="00445C45" w:rsidRDefault="00445C45" w:rsidP="00FB2CB3">
            <w:pPr>
              <w:pStyle w:val="BodyText"/>
              <w:rPr>
                <w:rFonts w:asciiTheme="minorHAnsi" w:hAnsiTheme="minorHAnsi"/>
                <w:bCs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0"/>
                <w:szCs w:val="20"/>
                <w:lang w:val="fr-FR"/>
              </w:rPr>
              <w:t>e</w:t>
            </w:r>
            <w:r w:rsidRPr="00445C45">
              <w:rPr>
                <w:rFonts w:asciiTheme="minorHAnsi" w:hAnsiTheme="minorHAnsi"/>
                <w:bCs/>
                <w:iCs/>
                <w:sz w:val="20"/>
                <w:szCs w:val="20"/>
                <w:lang w:val="fr-FR"/>
              </w:rPr>
              <w:t>xplicarearelaţiilordintreinstituţii</w:t>
            </w:r>
            <w:proofErr w:type="spellEnd"/>
            <w:r w:rsidRPr="00445C45">
              <w:rPr>
                <w:rFonts w:asciiTheme="minorHAnsi" w:hAnsiTheme="minorHAnsi"/>
                <w:bCs/>
                <w:iCs/>
                <w:sz w:val="20"/>
                <w:szCs w:val="20"/>
                <w:lang w:val="fr-FR"/>
              </w:rPr>
              <w:t xml:space="preserve"> si performante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lang w:val="fr-FR"/>
              </w:rPr>
              <w:t>.</w:t>
            </w:r>
          </w:p>
          <w:p w:rsidR="00D60F81" w:rsidRPr="00445C45" w:rsidRDefault="00D60F81" w:rsidP="00E46FB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/>
                <w:sz w:val="20"/>
                <w:szCs w:val="20"/>
                <w:lang w:val="ro-RO"/>
              </w:rPr>
            </w:pPr>
          </w:p>
          <w:p w:rsidR="00D60F81" w:rsidRPr="00445C45" w:rsidRDefault="00D60F81" w:rsidP="00445C4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D60F81" w:rsidRPr="00445C45" w:rsidTr="00E46FB5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D60F81" w:rsidRPr="00445C45" w:rsidTr="00E46FB5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D60F81" w:rsidRPr="00445C45" w:rsidTr="00E46FB5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D60F81" w:rsidRDefault="00D60F81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45C45">
              <w:rPr>
                <w:rFonts w:asciiTheme="minorHAnsi" w:hAnsiTheme="minorHAnsi"/>
                <w:sz w:val="20"/>
                <w:szCs w:val="20"/>
                <w:lang w:val="it-IT"/>
              </w:rPr>
              <w:t>1</w:t>
            </w:r>
            <w:r w:rsidR="00E76A74">
              <w:rPr>
                <w:rFonts w:asciiTheme="minorHAnsi" w:hAnsiTheme="minorHAnsi"/>
                <w:sz w:val="20"/>
                <w:szCs w:val="20"/>
                <w:lang w:val="it-IT"/>
              </w:rPr>
              <w:t>.</w:t>
            </w:r>
            <w:r w:rsidR="00E133AE">
              <w:rPr>
                <w:rFonts w:asciiTheme="minorHAnsi" w:hAnsiTheme="minorHAnsi"/>
                <w:sz w:val="20"/>
                <w:szCs w:val="20"/>
                <w:lang w:val="it-IT"/>
              </w:rPr>
              <w:t>Curs Introductiv. Mod de lucru și examinare.</w:t>
            </w:r>
          </w:p>
          <w:p w:rsidR="00E133AE" w:rsidRDefault="00E133A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2. Ce este o instituție?</w:t>
            </w:r>
          </w:p>
          <w:p w:rsidR="00E133AE" w:rsidRDefault="00E133A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3. Guvernarea instituțiilor: intre lege si norme sociale</w:t>
            </w:r>
          </w:p>
          <w:p w:rsidR="00E133AE" w:rsidRDefault="00E133A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4.</w:t>
            </w:r>
            <w:r w:rsidR="00C44D1E">
              <w:rPr>
                <w:rFonts w:asciiTheme="minorHAnsi" w:hAnsiTheme="minorHAnsi"/>
                <w:sz w:val="20"/>
                <w:szCs w:val="20"/>
                <w:lang w:val="it-IT"/>
              </w:rPr>
              <w:t>”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Commons dillemas</w:t>
            </w:r>
            <w:r w:rsidR="00C44D1E">
              <w:rPr>
                <w:rFonts w:asciiTheme="minorHAnsi" w:hAnsiTheme="minorHAnsi"/>
                <w:sz w:val="20"/>
                <w:szCs w:val="20"/>
                <w:lang w:val="it-IT"/>
              </w:rPr>
              <w:t>” – actori raționali și actiune colectivă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5. Raționalitatea sistemelor economice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6. Proprietare și guvernarea resurselor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7. Bunuri publice, bunuri private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8. IAD – cadru analitic și metodologia cercetării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9. Public Choice – cadru analitic de referință – Elinor Ostrom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10. Dilemele dezvoltării – partea I.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11. Dilemele dezvoltării – partea II.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12. SES – Socil-Ecological Systems – cadru teoretic si metodologic.</w:t>
            </w:r>
          </w:p>
          <w:p w:rsidR="00C44D1E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13. Curs sumativ – Q</w:t>
            </w:r>
            <w:r w:rsidR="00096DD3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and A</w:t>
            </w:r>
          </w:p>
          <w:p w:rsidR="00C44D1E" w:rsidRPr="00445C45" w:rsidRDefault="00C44D1E" w:rsidP="00FB2CB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14. Pregatirea examenului –Q and A.</w:t>
            </w:r>
          </w:p>
          <w:p w:rsidR="00D60F81" w:rsidRPr="00445C45" w:rsidRDefault="00D60F81" w:rsidP="00FB2CB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60F81" w:rsidRPr="00445C45" w:rsidRDefault="00D60F81" w:rsidP="00E46FB5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învățare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activă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expunere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didactică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dezbatere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D60F81" w:rsidRPr="00445C45" w:rsidRDefault="00D60F81" w:rsidP="00E46FB5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D60F81" w:rsidRPr="00FB2CB3" w:rsidRDefault="00D60F81" w:rsidP="00FB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FB2CB3">
              <w:rPr>
                <w:rFonts w:asciiTheme="minorHAnsi" w:hAnsiTheme="minorHAnsi" w:cs="Calibri"/>
                <w:sz w:val="20"/>
                <w:szCs w:val="20"/>
              </w:rPr>
              <w:t>Bibliografie</w:t>
            </w:r>
            <w:proofErr w:type="spellEnd"/>
            <w:r w:rsidRPr="00FB2CB3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D60F81" w:rsidRPr="00FB2CB3" w:rsidRDefault="00D60F81" w:rsidP="00FB2CB3">
            <w:pPr>
              <w:pStyle w:val="FootnoteText"/>
              <w:ind w:left="360"/>
              <w:jc w:val="both"/>
              <w:rPr>
                <w:rFonts w:asciiTheme="minorHAnsi" w:hAnsiTheme="minorHAnsi" w:cs="Arial"/>
              </w:rPr>
            </w:pPr>
          </w:p>
          <w:p w:rsidR="0064396C" w:rsidRPr="00FB2CB3" w:rsidRDefault="0064396C" w:rsidP="00FB2CB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FB2CB3">
              <w:rPr>
                <w:sz w:val="20"/>
                <w:szCs w:val="20"/>
              </w:rPr>
              <w:t xml:space="preserve">Ostrom, Elinor (2007)Guvernarea bunurilor comune. Evoluţia instituţiilor pentru acţiunea colectiva. Ed. Polirom </w:t>
            </w:r>
          </w:p>
          <w:p w:rsidR="0064396C" w:rsidRPr="00FB2CB3" w:rsidRDefault="0064396C" w:rsidP="00FB2CB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FB2CB3">
              <w:rPr>
                <w:sz w:val="20"/>
                <w:szCs w:val="20"/>
              </w:rPr>
              <w:t>Putnam,Robert (2001)  Cum funcționează democratia. Ed. Polirom</w:t>
            </w:r>
          </w:p>
          <w:p w:rsidR="0064396C" w:rsidRPr="00FB2CB3" w:rsidRDefault="0064396C" w:rsidP="00FB2CB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FB2CB3">
              <w:rPr>
                <w:sz w:val="20"/>
                <w:szCs w:val="20"/>
              </w:rPr>
              <w:t xml:space="preserve">Miroiu, Adrian (2007) </w:t>
            </w:r>
            <w:r w:rsidRPr="00FB2CB3">
              <w:rPr>
                <w:iCs/>
                <w:sz w:val="20"/>
                <w:szCs w:val="20"/>
              </w:rPr>
              <w:t>Fundamentele politicii, I si II. Ed. Polirom</w:t>
            </w:r>
          </w:p>
          <w:p w:rsidR="0064396C" w:rsidRPr="00FB2CB3" w:rsidRDefault="0064396C" w:rsidP="00FB2CB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FB2CB3">
              <w:rPr>
                <w:iCs/>
                <w:sz w:val="20"/>
                <w:szCs w:val="20"/>
              </w:rPr>
              <w:t>Mungiu-Pippidi, S. Ionita (ccord.)(2007), Politici publice. Teorie si practica. Ed. Polirom</w:t>
            </w:r>
          </w:p>
          <w:p w:rsidR="0064396C" w:rsidRPr="00FB2CB3" w:rsidRDefault="0064396C" w:rsidP="00FB2CB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FB2CB3">
              <w:rPr>
                <w:iCs/>
                <w:sz w:val="20"/>
                <w:szCs w:val="20"/>
              </w:rPr>
              <w:t>C.D North (1990) Institutions, Institutional Change and Economic Performance. Cambridge Univ. Press</w:t>
            </w:r>
          </w:p>
          <w:p w:rsidR="0064396C" w:rsidRPr="00FB2CB3" w:rsidRDefault="0064396C" w:rsidP="00FB2CB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B2CB3">
              <w:rPr>
                <w:iCs/>
                <w:sz w:val="20"/>
                <w:szCs w:val="20"/>
              </w:rPr>
              <w:t>W.W. Powell &amp; P.J. DiMaggio (Eds.)(1991), The New Institutionalism in Organizational Analysis. The Univ. of Chicago Press</w:t>
            </w:r>
          </w:p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8. 2 Seminar/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D60F81" w:rsidRPr="00445C45" w:rsidTr="00E46FB5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ind w:left="360" w:hanging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D60F81" w:rsidRPr="00445C45" w:rsidRDefault="00D60F81" w:rsidP="00E46FB5">
            <w:pPr>
              <w:pStyle w:val="ListParagraph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0F81" w:rsidRPr="00445C45" w:rsidTr="00E46FB5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Coroborarea</w:t>
            </w:r>
            <w:proofErr w:type="spellEnd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validarea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conţinuturilor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aşteptările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reprezentanţilor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comunităţii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epistemice</w:t>
            </w:r>
            <w:proofErr w:type="spellEnd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asociaţiilor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angajatori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reprezentativi</w:t>
            </w:r>
            <w:proofErr w:type="spellEnd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domeniul</w:t>
            </w:r>
            <w:proofErr w:type="spellEnd"/>
            <w:r w:rsidR="00FB2CB3">
              <w:rPr>
                <w:rFonts w:asciiTheme="minorHAnsi" w:hAnsiTheme="minorHAnsi"/>
                <w:b/>
                <w:sz w:val="20"/>
                <w:szCs w:val="20"/>
              </w:rPr>
              <w:t xml:space="preserve"> afferent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0F81" w:rsidRPr="00445C45" w:rsidTr="00E46FB5">
        <w:trPr>
          <w:trHeight w:val="713"/>
        </w:trPr>
        <w:tc>
          <w:tcPr>
            <w:tcW w:w="9828" w:type="dxa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Metoda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orientată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spre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practica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cazuistica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specialitate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astfel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incat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absolventii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fie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pregatiti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atat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teoretic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/epistemic, cat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practic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0F81" w:rsidRPr="00445C45" w:rsidTr="00E46FB5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45C45">
              <w:rPr>
                <w:rFonts w:asciiTheme="minorHAnsi" w:hAnsi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0F81" w:rsidRPr="00445C45" w:rsidTr="00E46FB5">
        <w:trPr>
          <w:trHeight w:val="190"/>
          <w:jc w:val="center"/>
        </w:trPr>
        <w:tc>
          <w:tcPr>
            <w:tcW w:w="2088" w:type="dxa"/>
            <w:vAlign w:val="center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10.1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Criterii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10.2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10.3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Ponderedin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nota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D60F81" w:rsidRPr="00445C45" w:rsidTr="00E46FB5">
        <w:trPr>
          <w:trHeight w:val="455"/>
          <w:jc w:val="center"/>
        </w:trPr>
        <w:tc>
          <w:tcPr>
            <w:tcW w:w="2088" w:type="dxa"/>
            <w:vAlign w:val="center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b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D60F81" w:rsidRPr="00445C45" w:rsidRDefault="002B1845" w:rsidP="00E46FB5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Raport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cercetare</w:t>
            </w:r>
            <w:proofErr w:type="spellEnd"/>
            <w:r w:rsidR="00D60F81" w:rsidRPr="00445C45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proofErr w:type="spellStart"/>
            <w:r w:rsidR="00D60F81" w:rsidRPr="00445C45">
              <w:rPr>
                <w:rFonts w:asciiTheme="minorHAnsi" w:hAnsiTheme="minorHAnsi"/>
                <w:sz w:val="20"/>
                <w:szCs w:val="20"/>
              </w:rPr>
              <w:t>proiect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60F81" w:rsidRPr="00445C45">
              <w:rPr>
                <w:rFonts w:asciiTheme="minorHAnsi" w:hAnsiTheme="minorHAnsi"/>
                <w:sz w:val="20"/>
                <w:szCs w:val="20"/>
              </w:rPr>
              <w:t>realizat</w:t>
            </w:r>
            <w:proofErr w:type="spellEnd"/>
            <w:r w:rsidR="00D60F81" w:rsidRPr="00445C45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="00D60F81" w:rsidRPr="00445C45">
              <w:rPr>
                <w:rFonts w:asciiTheme="minorHAnsi" w:hAnsiTheme="minorHAnsi"/>
                <w:sz w:val="20"/>
                <w:szCs w:val="20"/>
              </w:rPr>
              <w:t>echipă</w:t>
            </w:r>
            <w:proofErr w:type="spellEnd"/>
          </w:p>
          <w:p w:rsidR="00D60F81" w:rsidRPr="00445C45" w:rsidRDefault="00D60F81" w:rsidP="00E46FB5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Prezentă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la curs</w:t>
            </w:r>
          </w:p>
        </w:tc>
        <w:tc>
          <w:tcPr>
            <w:tcW w:w="1440" w:type="dxa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</w:tr>
      <w:tr w:rsidR="00D60F81" w:rsidRPr="00445C45" w:rsidTr="00E46FB5">
        <w:trPr>
          <w:trHeight w:val="548"/>
          <w:jc w:val="center"/>
        </w:trPr>
        <w:tc>
          <w:tcPr>
            <w:tcW w:w="2088" w:type="dxa"/>
            <w:vAlign w:val="center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D60F81" w:rsidRPr="00445C45" w:rsidRDefault="00D60F81" w:rsidP="00E46FB5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170"/>
          <w:jc w:val="center"/>
        </w:trPr>
        <w:tc>
          <w:tcPr>
            <w:tcW w:w="9828" w:type="dxa"/>
            <w:gridSpan w:val="4"/>
          </w:tcPr>
          <w:p w:rsidR="00D60F81" w:rsidRPr="00445C45" w:rsidRDefault="00D60F81" w:rsidP="00E46F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performanţă</w:t>
            </w:r>
            <w:proofErr w:type="spellEnd"/>
          </w:p>
        </w:tc>
      </w:tr>
      <w:tr w:rsidR="00D60F81" w:rsidRPr="00445C45" w:rsidTr="00E46FB5">
        <w:trPr>
          <w:trHeight w:val="471"/>
          <w:jc w:val="center"/>
        </w:trPr>
        <w:tc>
          <w:tcPr>
            <w:tcW w:w="9828" w:type="dxa"/>
            <w:gridSpan w:val="4"/>
          </w:tcPr>
          <w:p w:rsidR="00D60F81" w:rsidRPr="00445C45" w:rsidRDefault="00D60F81" w:rsidP="00E46FB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45C45">
        <w:rPr>
          <w:rFonts w:asciiTheme="minorHAnsi" w:hAnsiTheme="minorHAnsi"/>
          <w:sz w:val="20"/>
          <w:szCs w:val="20"/>
        </w:rPr>
        <w:t xml:space="preserve">Data </w:t>
      </w:r>
      <w:proofErr w:type="spellStart"/>
      <w:r w:rsidRPr="00445C45">
        <w:rPr>
          <w:rFonts w:asciiTheme="minorHAnsi" w:hAnsiTheme="minorHAnsi"/>
          <w:sz w:val="20"/>
          <w:szCs w:val="20"/>
        </w:rPr>
        <w:t>completarii</w:t>
      </w:r>
      <w:proofErr w:type="spellEnd"/>
      <w:r w:rsidRPr="00445C45">
        <w:rPr>
          <w:rFonts w:asciiTheme="minorHAnsi" w:hAnsiTheme="minorHAnsi"/>
          <w:sz w:val="20"/>
          <w:szCs w:val="20"/>
        </w:rPr>
        <w:tab/>
      </w:r>
      <w:r w:rsidRPr="00445C45">
        <w:rPr>
          <w:rFonts w:asciiTheme="minorHAnsi" w:hAnsiTheme="minorHAnsi"/>
          <w:sz w:val="20"/>
          <w:szCs w:val="20"/>
        </w:rPr>
        <w:tab/>
      </w:r>
      <w:r w:rsidRPr="00445C45">
        <w:rPr>
          <w:rFonts w:asciiTheme="minorHAnsi" w:hAnsiTheme="minorHAnsi"/>
          <w:sz w:val="20"/>
          <w:szCs w:val="20"/>
        </w:rPr>
        <w:tab/>
      </w:r>
      <w:proofErr w:type="spellStart"/>
      <w:r w:rsidRPr="00445C45">
        <w:rPr>
          <w:rFonts w:asciiTheme="minorHAnsi" w:hAnsiTheme="minorHAnsi"/>
          <w:sz w:val="20"/>
          <w:szCs w:val="20"/>
        </w:rPr>
        <w:t>Semnatura</w:t>
      </w:r>
      <w:proofErr w:type="spellEnd"/>
      <w:r w:rsidRPr="00445C45">
        <w:rPr>
          <w:rFonts w:asciiTheme="minorHAnsi" w:hAnsiTheme="minorHAnsi"/>
          <w:sz w:val="20"/>
          <w:szCs w:val="20"/>
        </w:rPr>
        <w:t xml:space="preserve"> titular curs</w:t>
      </w:r>
      <w:r w:rsidRPr="00445C45">
        <w:rPr>
          <w:rFonts w:asciiTheme="minorHAnsi" w:hAnsiTheme="minorHAnsi"/>
          <w:sz w:val="20"/>
          <w:szCs w:val="20"/>
        </w:rPr>
        <w:tab/>
      </w:r>
      <w:r w:rsidRPr="00445C45">
        <w:rPr>
          <w:rFonts w:asciiTheme="minorHAnsi" w:hAnsiTheme="minorHAnsi"/>
          <w:sz w:val="20"/>
          <w:szCs w:val="20"/>
        </w:rPr>
        <w:tab/>
      </w:r>
      <w:proofErr w:type="spellStart"/>
      <w:r w:rsidRPr="00445C45">
        <w:rPr>
          <w:rFonts w:asciiTheme="minorHAnsi" w:hAnsiTheme="minorHAnsi"/>
          <w:sz w:val="20"/>
          <w:szCs w:val="20"/>
        </w:rPr>
        <w:t>Semnatura</w:t>
      </w:r>
      <w:proofErr w:type="spellEnd"/>
      <w:r w:rsidR="00FB2C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45C45">
        <w:rPr>
          <w:rFonts w:asciiTheme="minorHAnsi" w:hAnsiTheme="minorHAnsi"/>
          <w:sz w:val="20"/>
          <w:szCs w:val="20"/>
        </w:rPr>
        <w:t>titularului</w:t>
      </w:r>
      <w:proofErr w:type="spellEnd"/>
      <w:r w:rsidRPr="00445C45">
        <w:rPr>
          <w:rFonts w:asciiTheme="minorHAnsi" w:hAnsiTheme="minorHAnsi"/>
          <w:sz w:val="20"/>
          <w:szCs w:val="20"/>
        </w:rPr>
        <w:t xml:space="preserve"> de seminar</w:t>
      </w:r>
    </w:p>
    <w:p w:rsidR="00D60F81" w:rsidRPr="00445C45" w:rsidRDefault="00FB2CB3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01.03.2019</w:t>
      </w:r>
    </w:p>
    <w:p w:rsidR="00D60F81" w:rsidRPr="00445C45" w:rsidRDefault="00E67959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D60F81" w:rsidRPr="00445C45" w:rsidRDefault="00E67959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bookmarkStart w:id="3" w:name="page4"/>
      <w:bookmarkEnd w:id="3"/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Theme="minorHAnsi" w:hAnsiTheme="minorHAnsi"/>
          <w:sz w:val="20"/>
          <w:szCs w:val="20"/>
        </w:rPr>
      </w:pPr>
      <w:bookmarkStart w:id="4" w:name="page5"/>
      <w:bookmarkEnd w:id="4"/>
      <w:r w:rsidRPr="00445C45">
        <w:rPr>
          <w:rFonts w:asciiTheme="minorHAnsi" w:hAnsiTheme="minorHAnsi" w:cs="Calibri"/>
          <w:b/>
          <w:bCs/>
          <w:sz w:val="20"/>
          <w:szCs w:val="20"/>
        </w:rPr>
        <w:t>ANEXĂ LA FIŞA DISCIPLINEI</w:t>
      </w: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45C45">
        <w:rPr>
          <w:rFonts w:asciiTheme="minorHAnsi" w:hAnsiTheme="minorHAnsi" w:cs="Calibri"/>
          <w:b/>
          <w:bCs/>
          <w:sz w:val="20"/>
          <w:szCs w:val="20"/>
        </w:rPr>
        <w:t xml:space="preserve">b. </w:t>
      </w:r>
      <w:proofErr w:type="spellStart"/>
      <w:r w:rsidRPr="00445C45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445C45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445C45">
        <w:rPr>
          <w:rFonts w:asciiTheme="minorHAnsi" w:hAnsiTheme="minorHAnsi" w:cs="Calibri"/>
          <w:b/>
          <w:bCs/>
          <w:sz w:val="20"/>
          <w:szCs w:val="20"/>
        </w:rPr>
        <w:t>mărire</w:t>
      </w:r>
      <w:proofErr w:type="spellEnd"/>
      <w:r w:rsidRPr="00445C45">
        <w:rPr>
          <w:rFonts w:asciiTheme="minorHAnsi" w:hAnsiTheme="minorHAnsi" w:cs="Calibri"/>
          <w:b/>
          <w:bCs/>
          <w:sz w:val="20"/>
          <w:szCs w:val="20"/>
        </w:rPr>
        <w:t xml:space="preserve"> de </w:t>
      </w:r>
      <w:proofErr w:type="spellStart"/>
      <w:r w:rsidRPr="00445C45">
        <w:rPr>
          <w:rFonts w:asciiTheme="minorHAnsi" w:hAnsiTheme="minorHAnsi" w:cs="Calibri"/>
          <w:b/>
          <w:bCs/>
          <w:sz w:val="20"/>
          <w:szCs w:val="20"/>
        </w:rPr>
        <w:t>notă</w:t>
      </w:r>
      <w:proofErr w:type="spellEnd"/>
    </w:p>
    <w:p w:rsidR="00D60F81" w:rsidRPr="00445C45" w:rsidRDefault="00E67959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D60F81" w:rsidRPr="00445C45" w:rsidTr="00E46FB5">
        <w:trPr>
          <w:trHeight w:val="300"/>
        </w:trPr>
        <w:tc>
          <w:tcPr>
            <w:tcW w:w="2447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3"/>
        </w:trPr>
        <w:tc>
          <w:tcPr>
            <w:tcW w:w="2447" w:type="dxa"/>
            <w:vMerge w:val="restart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D60F81" w:rsidRPr="00445C45" w:rsidRDefault="002B1845" w:rsidP="00E46FB5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Raport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cercetare</w:t>
            </w:r>
            <w:proofErr w:type="spellEnd"/>
            <w:r w:rsidR="00D60F81" w:rsidRPr="00445C45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D60F81" w:rsidRPr="00445C45">
              <w:rPr>
                <w:rFonts w:asciiTheme="minorHAnsi" w:hAnsiTheme="minorHAnsi"/>
                <w:sz w:val="20"/>
                <w:szCs w:val="20"/>
              </w:rPr>
              <w:t>proiect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60F81" w:rsidRPr="00445C45">
              <w:rPr>
                <w:rFonts w:asciiTheme="minorHAnsi" w:hAnsiTheme="minorHAnsi"/>
                <w:sz w:val="20"/>
                <w:szCs w:val="20"/>
              </w:rPr>
              <w:t>realizat</w:t>
            </w:r>
            <w:proofErr w:type="spellEnd"/>
            <w:r w:rsidR="00D60F81" w:rsidRPr="00445C45">
              <w:rPr>
                <w:rFonts w:asciiTheme="minorHAnsi" w:hAnsiTheme="minorHAnsi"/>
                <w:sz w:val="20"/>
                <w:szCs w:val="20"/>
              </w:rPr>
              <w:t xml:space="preserve"> individual</w:t>
            </w:r>
          </w:p>
          <w:p w:rsidR="00D60F81" w:rsidRPr="00445C45" w:rsidRDefault="00D60F81" w:rsidP="00E46FB5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Prezentă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FB2C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la curs</w:t>
            </w:r>
          </w:p>
        </w:tc>
        <w:tc>
          <w:tcPr>
            <w:tcW w:w="2398" w:type="dxa"/>
            <w:vMerge w:val="restart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3"/>
        </w:trPr>
        <w:tc>
          <w:tcPr>
            <w:tcW w:w="2447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70"/>
        </w:trPr>
        <w:tc>
          <w:tcPr>
            <w:tcW w:w="2447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3"/>
        </w:trPr>
        <w:tc>
          <w:tcPr>
            <w:tcW w:w="2447" w:type="dxa"/>
            <w:vMerge w:val="restart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D60F81" w:rsidRPr="00445C45" w:rsidRDefault="00D60F81" w:rsidP="00E46FB5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89"/>
        </w:trPr>
        <w:tc>
          <w:tcPr>
            <w:tcW w:w="2447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172"/>
        </w:trPr>
        <w:tc>
          <w:tcPr>
            <w:tcW w:w="2447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3"/>
        </w:trPr>
        <w:tc>
          <w:tcPr>
            <w:tcW w:w="9680" w:type="dxa"/>
            <w:gridSpan w:val="5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6"/>
        </w:trPr>
        <w:tc>
          <w:tcPr>
            <w:tcW w:w="9680" w:type="dxa"/>
            <w:gridSpan w:val="5"/>
            <w:vAlign w:val="bottom"/>
          </w:tcPr>
          <w:p w:rsidR="00D60F81" w:rsidRPr="00445C45" w:rsidRDefault="00FB2CB3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26"/>
        </w:trPr>
        <w:tc>
          <w:tcPr>
            <w:tcW w:w="2447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FB2CB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FB2CB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442"/>
        </w:trPr>
        <w:tc>
          <w:tcPr>
            <w:tcW w:w="2447" w:type="dxa"/>
            <w:vAlign w:val="bottom"/>
          </w:tcPr>
          <w:p w:rsidR="00D60F81" w:rsidRPr="00445C45" w:rsidRDefault="00FB2CB3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01.03</w:t>
            </w:r>
            <w:r w:rsidR="00D60F81" w:rsidRPr="00445C45">
              <w:rPr>
                <w:rFonts w:asciiTheme="minorHAnsi" w:hAnsiTheme="minorHAnsi" w:cs="Calibri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0F81" w:rsidRPr="00445C45" w:rsidRDefault="00E67959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45C45">
        <w:rPr>
          <w:rFonts w:asciiTheme="minorHAnsi" w:hAnsiTheme="minorHAnsi" w:cs="Calibri"/>
          <w:b/>
          <w:bCs/>
          <w:sz w:val="20"/>
          <w:szCs w:val="20"/>
        </w:rPr>
        <w:t xml:space="preserve">c. </w:t>
      </w:r>
      <w:proofErr w:type="spellStart"/>
      <w:r w:rsidRPr="00445C45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445C45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445C45">
        <w:rPr>
          <w:rFonts w:asciiTheme="minorHAnsi" w:hAnsiTheme="minorHAnsi" w:cs="Calibri"/>
          <w:b/>
          <w:bCs/>
          <w:sz w:val="20"/>
          <w:szCs w:val="20"/>
        </w:rPr>
        <w:t>restanţă</w:t>
      </w:r>
      <w:proofErr w:type="spellEnd"/>
    </w:p>
    <w:p w:rsidR="00D60F81" w:rsidRPr="00445C45" w:rsidRDefault="00E67959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3" o:spid="_x0000_s1043" style="position:absolute;margin-left:-.45pt;margin-top:14.85pt;width:.95pt;height:2.3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D60F81" w:rsidRPr="00445C45" w:rsidTr="00E46FB5">
        <w:trPr>
          <w:trHeight w:val="303"/>
        </w:trPr>
        <w:tc>
          <w:tcPr>
            <w:tcW w:w="2445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1"/>
        </w:trPr>
        <w:tc>
          <w:tcPr>
            <w:tcW w:w="2445" w:type="dxa"/>
            <w:vMerge w:val="restart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D60F81" w:rsidRPr="00445C45" w:rsidRDefault="00D60F81" w:rsidP="00E46FB5">
            <w:pPr>
              <w:spacing w:after="0" w:line="240" w:lineRule="auto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 xml:space="preserve">Test 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scris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intrebari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2400" w:type="dxa"/>
            <w:vMerge w:val="restart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4"/>
        </w:trPr>
        <w:tc>
          <w:tcPr>
            <w:tcW w:w="2445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70"/>
        </w:trPr>
        <w:tc>
          <w:tcPr>
            <w:tcW w:w="2445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8"/>
        </w:trPr>
        <w:tc>
          <w:tcPr>
            <w:tcW w:w="2445" w:type="dxa"/>
            <w:vMerge w:val="restart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D60F81" w:rsidRPr="00445C45" w:rsidRDefault="00D60F81" w:rsidP="00E46FB5">
            <w:pPr>
              <w:spacing w:after="0" w:line="240" w:lineRule="auto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84"/>
        </w:trPr>
        <w:tc>
          <w:tcPr>
            <w:tcW w:w="2445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172"/>
        </w:trPr>
        <w:tc>
          <w:tcPr>
            <w:tcW w:w="2445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3"/>
        </w:trPr>
        <w:tc>
          <w:tcPr>
            <w:tcW w:w="9685" w:type="dxa"/>
            <w:gridSpan w:val="5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performanţăprinbarem</w:t>
            </w:r>
            <w:proofErr w:type="spellEnd"/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66"/>
        </w:trPr>
        <w:tc>
          <w:tcPr>
            <w:tcW w:w="9685" w:type="dxa"/>
            <w:gridSpan w:val="5"/>
            <w:vAlign w:val="bottom"/>
          </w:tcPr>
          <w:p w:rsidR="00D60F81" w:rsidRPr="00445C45" w:rsidRDefault="00FB2CB3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45C45"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 w:rsidRPr="00445C4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228"/>
        </w:trPr>
        <w:tc>
          <w:tcPr>
            <w:tcW w:w="2445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FB2CB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FB2CB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445C45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445C45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81" w:rsidRPr="00445C45" w:rsidTr="00E46FB5">
        <w:trPr>
          <w:trHeight w:val="599"/>
        </w:trPr>
        <w:tc>
          <w:tcPr>
            <w:tcW w:w="2445" w:type="dxa"/>
            <w:vAlign w:val="bottom"/>
          </w:tcPr>
          <w:p w:rsidR="00D60F81" w:rsidRPr="00445C45" w:rsidRDefault="00FB2CB3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01.03</w:t>
            </w:r>
            <w:r w:rsidR="00D60F81" w:rsidRPr="00445C45">
              <w:rPr>
                <w:rFonts w:asciiTheme="minorHAnsi" w:hAnsiTheme="minorHAnsi" w:cs="Calibri"/>
                <w:w w:val="99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45C45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D60F81" w:rsidRPr="00445C45" w:rsidRDefault="00D60F81" w:rsidP="00E4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0F81" w:rsidRPr="00445C45" w:rsidRDefault="00E67959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6" o:spid="_x0000_s1040" style="position:absolute;margin-left:-.05pt;margin-top:-145.6pt;width:1.05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E67959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D60F81" w:rsidRPr="00445C45" w:rsidRDefault="00D60F81" w:rsidP="00D60F8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0F81" w:rsidRPr="00445C45" w:rsidRDefault="00D60F81" w:rsidP="00D60F81">
      <w:pPr>
        <w:rPr>
          <w:rFonts w:asciiTheme="minorHAnsi" w:hAnsiTheme="minorHAnsi"/>
          <w:sz w:val="20"/>
          <w:szCs w:val="20"/>
        </w:rPr>
      </w:pPr>
    </w:p>
    <w:p w:rsidR="00707FEE" w:rsidRPr="00445C45" w:rsidRDefault="00707FEE">
      <w:pPr>
        <w:rPr>
          <w:rFonts w:asciiTheme="minorHAnsi" w:hAnsiTheme="minorHAnsi"/>
          <w:sz w:val="20"/>
          <w:szCs w:val="20"/>
        </w:rPr>
      </w:pPr>
    </w:p>
    <w:sectPr w:rsidR="00707FEE" w:rsidRPr="00445C45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39D"/>
    <w:multiLevelType w:val="hybridMultilevel"/>
    <w:tmpl w:val="D474E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29FB"/>
    <w:multiLevelType w:val="hybridMultilevel"/>
    <w:tmpl w:val="8A52CB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F04C6"/>
    <w:multiLevelType w:val="hybridMultilevel"/>
    <w:tmpl w:val="7BBEB0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254FD"/>
    <w:multiLevelType w:val="hybridMultilevel"/>
    <w:tmpl w:val="875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79B"/>
    <w:multiLevelType w:val="singleLevel"/>
    <w:tmpl w:val="C90C85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55B531D"/>
    <w:multiLevelType w:val="hybridMultilevel"/>
    <w:tmpl w:val="3F18D2B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726D2"/>
    <w:multiLevelType w:val="hybridMultilevel"/>
    <w:tmpl w:val="1E6EC846"/>
    <w:lvl w:ilvl="0" w:tplc="0418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51871C0"/>
    <w:multiLevelType w:val="hybridMultilevel"/>
    <w:tmpl w:val="509A95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4CD2"/>
    <w:multiLevelType w:val="hybridMultilevel"/>
    <w:tmpl w:val="B5E2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E1F6A"/>
    <w:multiLevelType w:val="hybridMultilevel"/>
    <w:tmpl w:val="AD90E494"/>
    <w:lvl w:ilvl="0" w:tplc="0418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0F81"/>
    <w:rsid w:val="00096DD3"/>
    <w:rsid w:val="001D2F66"/>
    <w:rsid w:val="002B1845"/>
    <w:rsid w:val="00445C45"/>
    <w:rsid w:val="0064396C"/>
    <w:rsid w:val="00707FEE"/>
    <w:rsid w:val="00902E5D"/>
    <w:rsid w:val="00BD7503"/>
    <w:rsid w:val="00C44D1E"/>
    <w:rsid w:val="00D60F81"/>
    <w:rsid w:val="00E133AE"/>
    <w:rsid w:val="00E67959"/>
    <w:rsid w:val="00E76A74"/>
    <w:rsid w:val="00FB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8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F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60F81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rsid w:val="00D60F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0F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D60F81"/>
    <w:rPr>
      <w:color w:val="0000FF"/>
      <w:u w:val="single"/>
    </w:rPr>
  </w:style>
  <w:style w:type="paragraph" w:styleId="BodyText">
    <w:name w:val="Body Text"/>
    <w:basedOn w:val="Normal"/>
    <w:link w:val="BodyTextChar"/>
    <w:rsid w:val="00D60F81"/>
    <w:pPr>
      <w:spacing w:after="0" w:line="240" w:lineRule="auto"/>
      <w:jc w:val="both"/>
    </w:pPr>
    <w:rPr>
      <w:rFonts w:ascii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D60F81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45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5C4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8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F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60F81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FootnoteText">
    <w:name w:val="footnote text"/>
    <w:basedOn w:val="Normal"/>
    <w:link w:val="FootnoteTextChar"/>
    <w:rsid w:val="00D60F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0F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D60F81"/>
    <w:rPr>
      <w:color w:val="0000FF"/>
      <w:u w:val="single"/>
    </w:rPr>
  </w:style>
  <w:style w:type="paragraph" w:styleId="BodyText">
    <w:name w:val="Body Text"/>
    <w:basedOn w:val="Normal"/>
    <w:link w:val="BodyTextChar"/>
    <w:rsid w:val="00D60F81"/>
    <w:pPr>
      <w:spacing w:after="0" w:line="240" w:lineRule="auto"/>
      <w:jc w:val="both"/>
    </w:pPr>
    <w:rPr>
      <w:rFonts w:ascii="Times New Roman" w:hAnsi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D60F81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45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5C4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9</cp:revision>
  <dcterms:created xsi:type="dcterms:W3CDTF">2019-03-01T12:21:00Z</dcterms:created>
  <dcterms:modified xsi:type="dcterms:W3CDTF">2019-03-04T21:25:00Z</dcterms:modified>
</cp:coreProperties>
</file>